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842F" w14:textId="77777777" w:rsidR="0069365C" w:rsidRDefault="00000000">
      <w:pPr>
        <w:pStyle w:val="Heading1"/>
        <w:keepNext w:val="0"/>
        <w:keepLines w:val="0"/>
        <w:spacing w:before="0" w:after="120" w:line="540" w:lineRule="atLeast"/>
      </w:pPr>
      <w:r>
        <w:rPr>
          <w:rFonts w:ascii="Calibri" w:eastAsia="Calibri" w:hAnsi="Calibri" w:cs="Calibri"/>
        </w:rPr>
        <w:t>Kotak Rewards Login Process Document</w:t>
      </w:r>
    </w:p>
    <w:p w14:paraId="5BC2E713" w14:textId="77777777" w:rsidR="0069365C" w:rsidRDefault="00000000">
      <w:pPr>
        <w:pStyle w:val="note"/>
        <w:spacing w:before="150" w:after="240"/>
        <w:ind w:left="240" w:right="180"/>
      </w:pPr>
      <w:r>
        <w:rPr>
          <w:shd w:val="clear" w:color="auto" w:fill="auto"/>
        </w:rPr>
        <w:t xml:space="preserve">This document explains the complete login process for Kotak Rewards in a functional manner. It covers both SSO login from Kotak channels and normal browser login, without technical code-level details. </w:t>
      </w:r>
    </w:p>
    <w:p w14:paraId="5F27A23C" w14:textId="77777777" w:rsidR="0069365C" w:rsidRDefault="00000000">
      <w:pPr>
        <w:pStyle w:val="Heading2"/>
        <w:keepNext w:val="0"/>
        <w:keepLines w:val="0"/>
        <w:spacing w:before="330" w:after="249" w:line="405" w:lineRule="atLeast"/>
      </w:pPr>
      <w:r>
        <w:rPr>
          <w:rFonts w:ascii="Calibri" w:eastAsia="Calibri" w:hAnsi="Calibri" w:cs="Calibri"/>
        </w:rPr>
        <w:t>1. Login Flow Diagram</w:t>
      </w:r>
    </w:p>
    <w:tbl>
      <w:tblPr>
        <w:tblStyle w:val="table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755"/>
        <w:gridCol w:w="885"/>
        <w:gridCol w:w="2010"/>
        <w:gridCol w:w="885"/>
        <w:gridCol w:w="2825"/>
      </w:tblGrid>
      <w:tr w:rsidR="0069365C" w14:paraId="5B6ED911" w14:textId="77777777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87CBF0" w14:textId="77777777" w:rsidR="0069365C" w:rsidRDefault="00000000">
            <w:pPr>
              <w:pStyle w:val="source-box"/>
              <w:spacing w:line="240" w:lineRule="auto"/>
              <w:ind w:left="195" w:righ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/>
                <w:shd w:val="clear" w:color="auto" w:fill="auto"/>
              </w:rPr>
              <w:t>811 App</w:t>
            </w:r>
          </w:p>
        </w:tc>
        <w:tc>
          <w:tcPr>
            <w:tcW w:w="885" w:type="dxa"/>
            <w:vMerge w:val="restar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A77E7F" w14:textId="77777777" w:rsidR="0069365C" w:rsidRDefault="00000000">
            <w:pPr>
              <w:spacing w:line="240" w:lineRule="auto"/>
              <w:jc w:val="center"/>
              <w:rPr>
                <w:b/>
                <w:bCs/>
                <w:color w:val="9AA7B2"/>
                <w:sz w:val="36"/>
                <w:szCs w:val="36"/>
              </w:rPr>
            </w:pPr>
            <w:r>
              <w:rPr>
                <w:b/>
                <w:bCs/>
                <w:color w:val="9AA7B2"/>
                <w:sz w:val="36"/>
                <w:szCs w:val="36"/>
              </w:rPr>
              <w:t>→</w:t>
            </w:r>
          </w:p>
        </w:tc>
        <w:tc>
          <w:tcPr>
            <w:tcW w:w="0" w:type="auto"/>
            <w:vMerge w:val="restar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AC8C7A" w14:textId="77777777" w:rsidR="0069365C" w:rsidRDefault="00000000">
            <w:pPr>
              <w:pStyle w:val="sso-box"/>
              <w:spacing w:line="240" w:lineRule="auto"/>
              <w:ind w:left="195" w:righ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/>
                <w:shd w:val="clear" w:color="auto" w:fill="auto"/>
              </w:rPr>
              <w:t>SSO Login</w:t>
            </w:r>
          </w:p>
        </w:tc>
        <w:tc>
          <w:tcPr>
            <w:tcW w:w="885" w:type="dxa"/>
            <w:vMerge w:val="restar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9602F5" w14:textId="77777777" w:rsidR="0069365C" w:rsidRDefault="00000000">
            <w:pPr>
              <w:spacing w:line="240" w:lineRule="auto"/>
              <w:jc w:val="center"/>
              <w:rPr>
                <w:b/>
                <w:bCs/>
                <w:color w:val="9AA7B2"/>
                <w:sz w:val="36"/>
                <w:szCs w:val="36"/>
              </w:rPr>
            </w:pPr>
            <w:r>
              <w:rPr>
                <w:b/>
                <w:bCs/>
                <w:color w:val="9AA7B2"/>
                <w:sz w:val="36"/>
                <w:szCs w:val="36"/>
              </w:rPr>
              <w:t>→</w:t>
            </w:r>
          </w:p>
        </w:tc>
        <w:tc>
          <w:tcPr>
            <w:tcW w:w="0" w:type="auto"/>
            <w:vMerge w:val="restar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FC3449" w14:textId="77777777" w:rsidR="0069365C" w:rsidRDefault="00000000">
            <w:pPr>
              <w:pStyle w:val="reward-box"/>
              <w:spacing w:line="240" w:lineRule="auto"/>
              <w:ind w:left="255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/>
                <w:shd w:val="clear" w:color="auto" w:fill="auto"/>
              </w:rPr>
              <w:t>Kotak Rewards</w:t>
            </w:r>
          </w:p>
        </w:tc>
      </w:tr>
      <w:tr w:rsidR="0069365C" w14:paraId="41B2EA2D" w14:textId="77777777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8A4774" w14:textId="77777777" w:rsidR="0069365C" w:rsidRDefault="00000000">
            <w:pPr>
              <w:pStyle w:val="source-box"/>
              <w:spacing w:line="240" w:lineRule="auto"/>
              <w:ind w:left="195" w:righ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/>
                <w:shd w:val="clear" w:color="auto" w:fill="auto"/>
              </w:rPr>
              <w:t>Mobile Banking</w:t>
            </w:r>
          </w:p>
        </w:tc>
        <w:tc>
          <w:tcPr>
            <w:tcW w:w="0" w:type="auto"/>
            <w:vMerge/>
            <w:vAlign w:val="center"/>
            <w:hideMark/>
          </w:tcPr>
          <w:p w14:paraId="41E404A8" w14:textId="77777777" w:rsidR="0069365C" w:rsidRDefault="0069365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9380DD" w14:textId="77777777" w:rsidR="0069365C" w:rsidRDefault="0069365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C38457" w14:textId="77777777" w:rsidR="0069365C" w:rsidRDefault="0069365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B8C037" w14:textId="77777777" w:rsidR="0069365C" w:rsidRDefault="0069365C">
            <w:pPr>
              <w:rPr>
                <w:sz w:val="24"/>
                <w:szCs w:val="24"/>
              </w:rPr>
            </w:pPr>
          </w:p>
        </w:tc>
      </w:tr>
      <w:tr w:rsidR="0069365C" w14:paraId="289AA199" w14:textId="77777777"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CEA548" w14:textId="77777777" w:rsidR="0069365C" w:rsidRDefault="00000000">
            <w:pPr>
              <w:pStyle w:val="source-box"/>
              <w:spacing w:line="240" w:lineRule="auto"/>
              <w:ind w:left="195" w:righ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/>
                <w:shd w:val="clear" w:color="auto" w:fill="auto"/>
              </w:rPr>
              <w:t>Net Banking</w:t>
            </w:r>
          </w:p>
        </w:tc>
        <w:tc>
          <w:tcPr>
            <w:tcW w:w="0" w:type="auto"/>
            <w:vMerge/>
            <w:vAlign w:val="center"/>
            <w:hideMark/>
          </w:tcPr>
          <w:p w14:paraId="1DA761F9" w14:textId="77777777" w:rsidR="0069365C" w:rsidRDefault="0069365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664461" w14:textId="77777777" w:rsidR="0069365C" w:rsidRDefault="0069365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5A1C8D" w14:textId="77777777" w:rsidR="0069365C" w:rsidRDefault="0069365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06027F" w14:textId="77777777" w:rsidR="0069365C" w:rsidRDefault="0069365C">
            <w:pPr>
              <w:rPr>
                <w:sz w:val="24"/>
                <w:szCs w:val="24"/>
              </w:rPr>
            </w:pPr>
          </w:p>
        </w:tc>
      </w:tr>
      <w:tr w:rsidR="0069365C" w14:paraId="297716B1" w14:textId="77777777">
        <w:trPr>
          <w:trHeight w:val="270"/>
        </w:trPr>
        <w:tc>
          <w:tcPr>
            <w:tcW w:w="0" w:type="auto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362DCB" w14:textId="77777777" w:rsidR="0069365C" w:rsidRDefault="0069365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879BF6" w14:textId="77777777" w:rsidR="0069365C" w:rsidRDefault="0069365C">
            <w:pPr>
              <w:rPr>
                <w:sz w:val="24"/>
                <w:szCs w:val="24"/>
              </w:rPr>
            </w:pPr>
          </w:p>
        </w:tc>
      </w:tr>
      <w:tr w:rsidR="0069365C" w14:paraId="6CA51859" w14:textId="77777777">
        <w:tc>
          <w:tcPr>
            <w:tcW w:w="0" w:type="auto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AE548C" w14:textId="77777777" w:rsidR="0069365C" w:rsidRDefault="00000000">
            <w:pPr>
              <w:pStyle w:val="web-box"/>
              <w:spacing w:line="240" w:lineRule="auto"/>
              <w:ind w:left="195" w:righ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/>
                <w:shd w:val="clear" w:color="auto" w:fill="auto"/>
              </w:rPr>
              <w:t>Web Login</w:t>
            </w:r>
            <w:r>
              <w:rPr>
                <w:sz w:val="24"/>
                <w:szCs w:val="24"/>
                <w:bdr w:val="none" w:sz="0" w:space="0" w:color="auto"/>
                <w:shd w:val="clear" w:color="auto" w:fill="auto"/>
              </w:rPr>
              <w:br/>
            </w:r>
            <w:r>
              <w:rPr>
                <w:rStyle w:val="small"/>
                <w:b w:val="0"/>
                <w:bCs w:val="0"/>
                <w:bdr w:val="none" w:sz="0" w:space="0" w:color="auto"/>
                <w:shd w:val="clear" w:color="auto" w:fill="auto"/>
              </w:rPr>
              <w:t>Normal browser login</w:t>
            </w:r>
          </w:p>
        </w:tc>
        <w:tc>
          <w:tcPr>
            <w:tcW w:w="88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EE6D4E" w14:textId="77777777" w:rsidR="0069365C" w:rsidRDefault="00000000">
            <w:pPr>
              <w:spacing w:line="240" w:lineRule="auto"/>
              <w:jc w:val="center"/>
              <w:rPr>
                <w:b/>
                <w:bCs/>
                <w:color w:val="9AA7B2"/>
                <w:sz w:val="36"/>
                <w:szCs w:val="36"/>
              </w:rPr>
            </w:pPr>
            <w:r>
              <w:rPr>
                <w:b/>
                <w:bCs/>
                <w:color w:val="9AA7B2"/>
                <w:sz w:val="36"/>
                <w:szCs w:val="36"/>
              </w:rPr>
              <w:t>→</w:t>
            </w:r>
          </w:p>
        </w:tc>
        <w:tc>
          <w:tcPr>
            <w:tcW w:w="0" w:type="auto"/>
            <w:vMerge/>
            <w:vAlign w:val="center"/>
            <w:hideMark/>
          </w:tcPr>
          <w:p w14:paraId="7FE41922" w14:textId="77777777" w:rsidR="0069365C" w:rsidRDefault="0069365C">
            <w:pPr>
              <w:rPr>
                <w:b/>
                <w:bCs/>
                <w:color w:val="9AA7B2"/>
                <w:sz w:val="36"/>
                <w:szCs w:val="36"/>
              </w:rPr>
            </w:pPr>
          </w:p>
        </w:tc>
      </w:tr>
    </w:tbl>
    <w:p w14:paraId="14A3F6DC" w14:textId="77777777" w:rsidR="0069365C" w:rsidRDefault="00000000">
      <w:pPr>
        <w:pStyle w:val="Heading2"/>
        <w:keepNext w:val="0"/>
        <w:keepLines w:val="0"/>
        <w:spacing w:before="330" w:after="249" w:line="405" w:lineRule="atLeast"/>
      </w:pPr>
      <w:r>
        <w:rPr>
          <w:rFonts w:ascii="Calibri" w:eastAsia="Calibri" w:hAnsi="Calibri" w:cs="Calibri"/>
        </w:rPr>
        <w:t>2. Login Channels</w:t>
      </w:r>
    </w:p>
    <w:tbl>
      <w:tblPr>
        <w:tblStyle w:val="table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53"/>
        <w:gridCol w:w="2120"/>
        <w:gridCol w:w="6271"/>
      </w:tblGrid>
      <w:tr w:rsidR="0069365C" w14:paraId="3E8582E3" w14:textId="77777777">
        <w:tc>
          <w:tcPr>
            <w:tcW w:w="0" w:type="auto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1F4E79"/>
            <w:tcMar>
              <w:top w:w="105" w:type="dxa"/>
              <w:left w:w="112" w:type="dxa"/>
              <w:bottom w:w="105" w:type="dxa"/>
              <w:right w:w="112" w:type="dxa"/>
            </w:tcMar>
            <w:vAlign w:val="center"/>
            <w:hideMark/>
          </w:tcPr>
          <w:p w14:paraId="71421861" w14:textId="77777777" w:rsidR="0069365C" w:rsidRDefault="00000000">
            <w:pPr>
              <w:spacing w:line="240" w:lineRule="auto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Login Type</w:t>
            </w:r>
          </w:p>
        </w:tc>
        <w:tc>
          <w:tcPr>
            <w:tcW w:w="0" w:type="auto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1F4E79"/>
            <w:tcMar>
              <w:top w:w="105" w:type="dxa"/>
              <w:left w:w="112" w:type="dxa"/>
              <w:bottom w:w="105" w:type="dxa"/>
              <w:right w:w="112" w:type="dxa"/>
            </w:tcMar>
            <w:vAlign w:val="center"/>
            <w:hideMark/>
          </w:tcPr>
          <w:p w14:paraId="0FAE45DD" w14:textId="77777777" w:rsidR="0069365C" w:rsidRDefault="00000000">
            <w:pPr>
              <w:spacing w:line="240" w:lineRule="auto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Used For</w:t>
            </w:r>
          </w:p>
        </w:tc>
        <w:tc>
          <w:tcPr>
            <w:tcW w:w="0" w:type="auto"/>
            <w:tcBorders>
              <w:top w:val="single" w:sz="6" w:space="0" w:color="1F4E79"/>
              <w:left w:val="single" w:sz="6" w:space="0" w:color="1F4E79"/>
              <w:bottom w:val="single" w:sz="6" w:space="0" w:color="1F4E79"/>
              <w:right w:val="single" w:sz="6" w:space="0" w:color="1F4E79"/>
            </w:tcBorders>
            <w:shd w:val="clear" w:color="auto" w:fill="1F4E79"/>
            <w:tcMar>
              <w:top w:w="105" w:type="dxa"/>
              <w:left w:w="112" w:type="dxa"/>
              <w:bottom w:w="105" w:type="dxa"/>
              <w:right w:w="112" w:type="dxa"/>
            </w:tcMar>
            <w:vAlign w:val="center"/>
            <w:hideMark/>
          </w:tcPr>
          <w:p w14:paraId="2BBAF63E" w14:textId="77777777" w:rsidR="0069365C" w:rsidRDefault="00000000">
            <w:pPr>
              <w:spacing w:line="240" w:lineRule="auto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Customer Experience</w:t>
            </w:r>
          </w:p>
        </w:tc>
      </w:tr>
      <w:tr w:rsidR="0069365C" w14:paraId="434D0B35" w14:textId="77777777">
        <w:tc>
          <w:tcPr>
            <w:tcW w:w="0" w:type="auto"/>
            <w:tcBorders>
              <w:top w:val="single" w:sz="6" w:space="0" w:color="C9D3DC"/>
              <w:left w:val="single" w:sz="6" w:space="0" w:color="C9D3DC"/>
              <w:bottom w:val="single" w:sz="6" w:space="0" w:color="C9D3DC"/>
              <w:right w:val="single" w:sz="6" w:space="0" w:color="C9D3DC"/>
            </w:tcBorders>
            <w:tcMar>
              <w:top w:w="105" w:type="dxa"/>
              <w:left w:w="112" w:type="dxa"/>
              <w:bottom w:w="105" w:type="dxa"/>
              <w:right w:w="112" w:type="dxa"/>
            </w:tcMar>
            <w:hideMark/>
          </w:tcPr>
          <w:p w14:paraId="22FB1A8E" w14:textId="77777777" w:rsidR="0069365C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SSO Login</w:t>
            </w:r>
          </w:p>
        </w:tc>
        <w:tc>
          <w:tcPr>
            <w:tcW w:w="0" w:type="auto"/>
            <w:tcBorders>
              <w:top w:val="single" w:sz="6" w:space="0" w:color="C9D3DC"/>
              <w:left w:val="single" w:sz="6" w:space="0" w:color="C9D3DC"/>
              <w:bottom w:val="single" w:sz="6" w:space="0" w:color="C9D3DC"/>
              <w:right w:val="single" w:sz="6" w:space="0" w:color="C9D3DC"/>
            </w:tcBorders>
            <w:tcMar>
              <w:top w:w="105" w:type="dxa"/>
              <w:left w:w="112" w:type="dxa"/>
              <w:bottom w:w="105" w:type="dxa"/>
              <w:right w:w="112" w:type="dxa"/>
            </w:tcMar>
            <w:hideMark/>
          </w:tcPr>
          <w:p w14:paraId="16367622" w14:textId="77777777" w:rsidR="0069365C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 App, Mobile Banking, Net Banking</w:t>
            </w:r>
          </w:p>
        </w:tc>
        <w:tc>
          <w:tcPr>
            <w:tcW w:w="0" w:type="auto"/>
            <w:tcBorders>
              <w:top w:val="single" w:sz="6" w:space="0" w:color="C9D3DC"/>
              <w:left w:val="single" w:sz="6" w:space="0" w:color="C9D3DC"/>
              <w:bottom w:val="single" w:sz="6" w:space="0" w:color="C9D3DC"/>
              <w:right w:val="single" w:sz="6" w:space="0" w:color="C9D3DC"/>
            </w:tcBorders>
            <w:tcMar>
              <w:top w:w="105" w:type="dxa"/>
              <w:left w:w="112" w:type="dxa"/>
              <w:bottom w:w="105" w:type="dxa"/>
              <w:right w:w="112" w:type="dxa"/>
            </w:tcMar>
            <w:hideMark/>
          </w:tcPr>
          <w:p w14:paraId="425EA0D6" w14:textId="77777777" w:rsidR="0069365C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comes from an already trusted Kotak channel and is moved into Kotak Rewards without manually entering OTP again on the rewards portal.</w:t>
            </w:r>
          </w:p>
        </w:tc>
      </w:tr>
      <w:tr w:rsidR="0069365C" w14:paraId="25DF8193" w14:textId="77777777">
        <w:tc>
          <w:tcPr>
            <w:tcW w:w="0" w:type="auto"/>
            <w:tcBorders>
              <w:top w:val="single" w:sz="6" w:space="0" w:color="C9D3DC"/>
              <w:left w:val="single" w:sz="6" w:space="0" w:color="C9D3DC"/>
              <w:bottom w:val="single" w:sz="6" w:space="0" w:color="C9D3DC"/>
              <w:right w:val="single" w:sz="6" w:space="0" w:color="C9D3DC"/>
            </w:tcBorders>
            <w:tcMar>
              <w:top w:w="105" w:type="dxa"/>
              <w:left w:w="112" w:type="dxa"/>
              <w:bottom w:w="105" w:type="dxa"/>
              <w:right w:w="112" w:type="dxa"/>
            </w:tcMar>
            <w:hideMark/>
          </w:tcPr>
          <w:p w14:paraId="7DB3C572" w14:textId="77777777" w:rsidR="0069365C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Login</w:t>
            </w:r>
          </w:p>
        </w:tc>
        <w:tc>
          <w:tcPr>
            <w:tcW w:w="0" w:type="auto"/>
            <w:tcBorders>
              <w:top w:val="single" w:sz="6" w:space="0" w:color="C9D3DC"/>
              <w:left w:val="single" w:sz="6" w:space="0" w:color="C9D3DC"/>
              <w:bottom w:val="single" w:sz="6" w:space="0" w:color="C9D3DC"/>
              <w:right w:val="single" w:sz="6" w:space="0" w:color="C9D3DC"/>
            </w:tcBorders>
            <w:tcMar>
              <w:top w:w="105" w:type="dxa"/>
              <w:left w:w="112" w:type="dxa"/>
              <w:bottom w:w="105" w:type="dxa"/>
              <w:right w:w="112" w:type="dxa"/>
            </w:tcMar>
            <w:hideMark/>
          </w:tcPr>
          <w:p w14:paraId="74AA9468" w14:textId="77777777" w:rsidR="0069365C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browser access</w:t>
            </w:r>
          </w:p>
        </w:tc>
        <w:tc>
          <w:tcPr>
            <w:tcW w:w="0" w:type="auto"/>
            <w:tcBorders>
              <w:top w:val="single" w:sz="6" w:space="0" w:color="C9D3DC"/>
              <w:left w:val="single" w:sz="6" w:space="0" w:color="C9D3DC"/>
              <w:bottom w:val="single" w:sz="6" w:space="0" w:color="C9D3DC"/>
              <w:right w:val="single" w:sz="6" w:space="0" w:color="C9D3DC"/>
            </w:tcBorders>
            <w:tcMar>
              <w:top w:w="105" w:type="dxa"/>
              <w:left w:w="112" w:type="dxa"/>
              <w:bottom w:w="105" w:type="dxa"/>
              <w:right w:w="112" w:type="dxa"/>
            </w:tcMar>
            <w:hideMark/>
          </w:tcPr>
          <w:p w14:paraId="4F0C4C7F" w14:textId="77777777" w:rsidR="0069365C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enters CRN, receives OTP, validates OTP, and then enters Kotak Rewards.</w:t>
            </w:r>
          </w:p>
        </w:tc>
      </w:tr>
    </w:tbl>
    <w:p w14:paraId="0A7AAB4A" w14:textId="77777777" w:rsidR="0069365C" w:rsidRDefault="00000000">
      <w:pPr>
        <w:pStyle w:val="Heading2"/>
        <w:keepNext w:val="0"/>
        <w:keepLines w:val="0"/>
        <w:spacing w:before="330" w:after="249" w:line="405" w:lineRule="atLeast"/>
      </w:pPr>
      <w:r>
        <w:rPr>
          <w:rFonts w:ascii="Calibri" w:eastAsia="Calibri" w:hAnsi="Calibri" w:cs="Calibri"/>
        </w:rPr>
        <w:t>3. SSO Login Process</w:t>
      </w:r>
    </w:p>
    <w:p w14:paraId="332DFAB1" w14:textId="77777777" w:rsidR="000151A6" w:rsidRPr="000151A6" w:rsidRDefault="000151A6" w:rsidP="000151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IN" w:eastAsia="en-IN"/>
        </w:rPr>
      </w:pPr>
      <w:r w:rsidRPr="000151A6">
        <w:rPr>
          <w:rFonts w:ascii="Times New Roman" w:eastAsia="Times New Roman" w:hAnsi="Times New Roman" w:cs="Times New Roman"/>
          <w:color w:val="auto"/>
          <w:sz w:val="24"/>
          <w:szCs w:val="24"/>
          <w:lang w:val="en-IN" w:eastAsia="en-IN"/>
        </w:rPr>
        <w:t xml:space="preserve">Customer opens a Kotak application such as 811 App, Mobile Banking, or Net Banking. </w:t>
      </w:r>
    </w:p>
    <w:p w14:paraId="05F7336B" w14:textId="77777777" w:rsidR="000151A6" w:rsidRPr="000151A6" w:rsidRDefault="000151A6" w:rsidP="000151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IN" w:eastAsia="en-IN"/>
        </w:rPr>
      </w:pPr>
      <w:r w:rsidRPr="000151A6">
        <w:rPr>
          <w:rFonts w:ascii="Times New Roman" w:eastAsia="Times New Roman" w:hAnsi="Times New Roman" w:cs="Times New Roman"/>
          <w:color w:val="auto"/>
          <w:sz w:val="24"/>
          <w:szCs w:val="24"/>
          <w:lang w:val="en-IN" w:eastAsia="en-IN"/>
        </w:rPr>
        <w:t xml:space="preserve">The customer selects the </w:t>
      </w:r>
      <w:r w:rsidRPr="000151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IN" w:eastAsia="en-IN"/>
        </w:rPr>
        <w:t>Rewards</w:t>
      </w:r>
      <w:r w:rsidRPr="000151A6">
        <w:rPr>
          <w:rFonts w:ascii="Times New Roman" w:eastAsia="Times New Roman" w:hAnsi="Times New Roman" w:cs="Times New Roman"/>
          <w:color w:val="auto"/>
          <w:sz w:val="24"/>
          <w:szCs w:val="24"/>
          <w:lang w:val="en-IN" w:eastAsia="en-IN"/>
        </w:rPr>
        <w:t xml:space="preserve"> option. </w:t>
      </w:r>
    </w:p>
    <w:p w14:paraId="777C3E8C" w14:textId="77777777" w:rsidR="000151A6" w:rsidRPr="000151A6" w:rsidRDefault="000151A6" w:rsidP="000151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IN" w:eastAsia="en-IN"/>
        </w:rPr>
      </w:pPr>
      <w:r w:rsidRPr="000151A6">
        <w:rPr>
          <w:rFonts w:ascii="Times New Roman" w:eastAsia="Times New Roman" w:hAnsi="Times New Roman" w:cs="Times New Roman"/>
          <w:color w:val="auto"/>
          <w:sz w:val="24"/>
          <w:szCs w:val="24"/>
          <w:lang w:val="en-IN" w:eastAsia="en-IN"/>
        </w:rPr>
        <w:t xml:space="preserve">The request is sent from the respective Kotak application to the SSO Login application (ER). </w:t>
      </w:r>
    </w:p>
    <w:p w14:paraId="74788747" w14:textId="77777777" w:rsidR="000151A6" w:rsidRPr="000151A6" w:rsidRDefault="000151A6" w:rsidP="000151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IN" w:eastAsia="en-IN"/>
        </w:rPr>
      </w:pPr>
      <w:r w:rsidRPr="000151A6">
        <w:rPr>
          <w:rFonts w:ascii="Times New Roman" w:eastAsia="Times New Roman" w:hAnsi="Times New Roman" w:cs="Times New Roman"/>
          <w:color w:val="auto"/>
          <w:sz w:val="24"/>
          <w:szCs w:val="24"/>
          <w:lang w:val="en-IN" w:eastAsia="en-IN"/>
        </w:rPr>
        <w:lastRenderedPageBreak/>
        <w:t xml:space="preserve">In the SSO Login application, validation is performed using the appropriate API based on the source Kotak application. </w:t>
      </w:r>
    </w:p>
    <w:p w14:paraId="4EEAA9E6" w14:textId="77777777" w:rsidR="000151A6" w:rsidRPr="000151A6" w:rsidRDefault="000151A6" w:rsidP="000151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IN" w:eastAsia="en-IN"/>
        </w:rPr>
      </w:pPr>
      <w:r w:rsidRPr="000151A6">
        <w:rPr>
          <w:rFonts w:ascii="Times New Roman" w:eastAsia="Times New Roman" w:hAnsi="Times New Roman" w:cs="Times New Roman"/>
          <w:color w:val="auto"/>
          <w:sz w:val="24"/>
          <w:szCs w:val="24"/>
          <w:lang w:val="en-IN" w:eastAsia="en-IN"/>
        </w:rPr>
        <w:t xml:space="preserve">If validation is successful, the user is redirected to the Rewards application; otherwise, the user is redirected to the browser login page. </w:t>
      </w:r>
    </w:p>
    <w:p w14:paraId="042342D4" w14:textId="77777777" w:rsidR="0069365C" w:rsidRDefault="00000000">
      <w:pPr>
        <w:pStyle w:val="Heading2"/>
        <w:keepNext w:val="0"/>
        <w:keepLines w:val="0"/>
        <w:spacing w:before="330" w:after="249" w:line="405" w:lineRule="atLeast"/>
      </w:pPr>
      <w:r>
        <w:rPr>
          <w:rFonts w:ascii="Calibri" w:eastAsia="Calibri" w:hAnsi="Calibri" w:cs="Calibri"/>
        </w:rPr>
        <w:t>4. Web Login Process</w:t>
      </w:r>
    </w:p>
    <w:p w14:paraId="4592640A" w14:textId="77777777" w:rsidR="000151A6" w:rsidRDefault="000151A6">
      <w:pPr>
        <w:pStyle w:val="olli"/>
        <w:numPr>
          <w:ilvl w:val="0"/>
          <w:numId w:val="2"/>
        </w:numPr>
        <w:spacing w:after="75"/>
        <w:ind w:hanging="267"/>
      </w:pPr>
      <w:r w:rsidRPr="000151A6">
        <w:t>Customer opens Kotak Rewards from a browser.</w:t>
      </w:r>
    </w:p>
    <w:p w14:paraId="4215495C" w14:textId="77777777" w:rsidR="000151A6" w:rsidRDefault="000151A6">
      <w:pPr>
        <w:pStyle w:val="olli"/>
        <w:numPr>
          <w:ilvl w:val="0"/>
          <w:numId w:val="2"/>
        </w:numPr>
        <w:spacing w:after="75"/>
        <w:ind w:hanging="267"/>
      </w:pPr>
      <w:r w:rsidRPr="000151A6">
        <w:t>The customer enters the CRN.</w:t>
      </w:r>
    </w:p>
    <w:p w14:paraId="4FA7FBA7" w14:textId="77777777" w:rsidR="000151A6" w:rsidRDefault="000151A6">
      <w:pPr>
        <w:pStyle w:val="olli"/>
        <w:numPr>
          <w:ilvl w:val="0"/>
          <w:numId w:val="2"/>
        </w:numPr>
        <w:spacing w:after="75"/>
        <w:ind w:hanging="267"/>
      </w:pPr>
      <w:r w:rsidRPr="000151A6">
        <w:t>The system validates the CRN format.</w:t>
      </w:r>
    </w:p>
    <w:p w14:paraId="2ED910D6" w14:textId="2E6F4064" w:rsidR="000151A6" w:rsidRPr="000151A6" w:rsidRDefault="000151A6" w:rsidP="000151A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t xml:space="preserve"> An OTP is generated and sent to the customer via the configured SMS/email process. </w:t>
      </w:r>
    </w:p>
    <w:p w14:paraId="5867AD1E" w14:textId="7775DEDD" w:rsidR="000151A6" w:rsidRDefault="000151A6" w:rsidP="000151A6">
      <w:pPr>
        <w:pStyle w:val="ListParagraph"/>
        <w:numPr>
          <w:ilvl w:val="0"/>
          <w:numId w:val="2"/>
        </w:numPr>
      </w:pPr>
      <w:r>
        <w:t xml:space="preserve">The customer enters the OTP. </w:t>
      </w:r>
    </w:p>
    <w:p w14:paraId="1C694DC3" w14:textId="46D26EBB" w:rsidR="000151A6" w:rsidRDefault="000151A6" w:rsidP="000151A6">
      <w:pPr>
        <w:pStyle w:val="ListParagraph"/>
        <w:numPr>
          <w:ilvl w:val="0"/>
          <w:numId w:val="2"/>
        </w:numPr>
      </w:pPr>
      <w:r>
        <w:t xml:space="preserve">The system validates whether the OTP is correct and within the allowed time. </w:t>
      </w:r>
    </w:p>
    <w:p w14:paraId="0ED900F8" w14:textId="4C085352" w:rsidR="000151A6" w:rsidRDefault="000151A6" w:rsidP="000151A6">
      <w:pPr>
        <w:pStyle w:val="ListParagraph"/>
        <w:numPr>
          <w:ilvl w:val="0"/>
          <w:numId w:val="2"/>
        </w:numPr>
      </w:pPr>
      <w:r>
        <w:t xml:space="preserve">If the OTP is correct, the customer is redirected to the Rewards application. </w:t>
      </w:r>
    </w:p>
    <w:p w14:paraId="7009BC50" w14:textId="29AB07EA" w:rsidR="000151A6" w:rsidRDefault="000151A6" w:rsidP="000151A6">
      <w:pPr>
        <w:pStyle w:val="ListParagraph"/>
        <w:numPr>
          <w:ilvl w:val="0"/>
          <w:numId w:val="2"/>
        </w:numPr>
      </w:pPr>
      <w:r w:rsidRPr="000151A6">
        <w:t>If the OTP is incorrect, the failed attempt count is updated. If the failed attempt count reaches the configured limit, the customer account is locked for 24 hours.</w:t>
      </w:r>
    </w:p>
    <w:p w14:paraId="74A1C4A3" w14:textId="77777777" w:rsidR="000151A6" w:rsidRDefault="000151A6" w:rsidP="000151A6"/>
    <w:p w14:paraId="01FE0369" w14:textId="40F20B24" w:rsidR="0069365C" w:rsidRPr="000151A6" w:rsidRDefault="0069365C" w:rsidP="000151A6">
      <w:pPr>
        <w:pBdr>
          <w:top w:val="single" w:sz="6" w:space="15" w:color="DDDDDD"/>
          <w:left w:val="none" w:sz="0" w:space="15" w:color="auto"/>
          <w:bottom w:val="none" w:sz="0" w:space="15" w:color="auto"/>
          <w:right w:val="none" w:sz="0" w:space="15" w:color="auto"/>
        </w:pBdr>
        <w:spacing w:before="450" w:after="180" w:line="243" w:lineRule="atLeast"/>
        <w:ind w:right="300"/>
        <w:rPr>
          <w:color w:val="999999"/>
          <w:sz w:val="18"/>
          <w:szCs w:val="18"/>
        </w:rPr>
      </w:pPr>
    </w:p>
    <w:sectPr w:rsidR="0069365C" w:rsidRPr="000151A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hybridMultilevel"/>
    <w:tmpl w:val="00000004"/>
    <w:lvl w:ilvl="0" w:tplc="C5840F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E002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D61F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BA13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5811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E6F8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2A79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68C6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0605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685373C1"/>
    <w:multiLevelType w:val="multilevel"/>
    <w:tmpl w:val="F61AC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497777">
    <w:abstractNumId w:val="0"/>
  </w:num>
  <w:num w:numId="2" w16cid:durableId="1634748404">
    <w:abstractNumId w:val="1"/>
  </w:num>
  <w:num w:numId="3" w16cid:durableId="375474905">
    <w:abstractNumId w:val="2"/>
  </w:num>
  <w:num w:numId="4" w16cid:durableId="633945553">
    <w:abstractNumId w:val="3"/>
  </w:num>
  <w:num w:numId="5" w16cid:durableId="690493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5C"/>
    <w:rsid w:val="000151A6"/>
    <w:rsid w:val="001054C8"/>
    <w:rsid w:val="001B7C7D"/>
    <w:rsid w:val="002E440B"/>
    <w:rsid w:val="006646E2"/>
    <w:rsid w:val="0069365C"/>
    <w:rsid w:val="008E4F4D"/>
    <w:rsid w:val="0093098F"/>
    <w:rsid w:val="00B9034B"/>
    <w:rsid w:val="00F7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7101"/>
  <w15:docId w15:val="{4C8220ED-8D02-4138-95E7-BCD86831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97" w:lineRule="atLeast"/>
    </w:pPr>
    <w:rPr>
      <w:rFonts w:ascii="Calibri" w:eastAsia="Calibri" w:hAnsi="Calibri" w:cs="Calibri"/>
      <w:color w:val="22222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1F4E79"/>
      <w:kern w:val="3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bottom w:val="single" w:sz="6" w:space="2" w:color="B7C9D9"/>
      </w:pBdr>
      <w:spacing w:before="40"/>
      <w:outlineLvl w:val="1"/>
    </w:pPr>
    <w:rPr>
      <w:rFonts w:ascii="Times New Roman" w:eastAsia="Times New Roman" w:hAnsi="Times New Roman" w:cs="Times New Roman"/>
      <w:b/>
      <w:bCs/>
      <w:color w:val="1F4E79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333333"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note">
    <w:name w:val="note"/>
    <w:basedOn w:val="Normal"/>
    <w:pPr>
      <w:pBdr>
        <w:top w:val="none" w:sz="0" w:space="6" w:color="auto"/>
        <w:left w:val="single" w:sz="24" w:space="9" w:color="5B9BD5"/>
        <w:bottom w:val="none" w:sz="0" w:space="6" w:color="auto"/>
        <w:right w:val="none" w:sz="0" w:space="9" w:color="auto"/>
      </w:pBdr>
      <w:shd w:val="clear" w:color="auto" w:fill="EEF6FC"/>
    </w:pPr>
    <w:rPr>
      <w:shd w:val="clear" w:color="auto" w:fill="EEF6FC"/>
    </w:rPr>
  </w:style>
  <w:style w:type="paragraph" w:customStyle="1" w:styleId="source-box">
    <w:name w:val="source-box"/>
    <w:basedOn w:val="Normal"/>
    <w:pPr>
      <w:pBdr>
        <w:top w:val="single" w:sz="6" w:space="6" w:color="7BB9DC"/>
        <w:left w:val="single" w:sz="6" w:space="9" w:color="7BB9DC"/>
        <w:bottom w:val="single" w:sz="6" w:space="6" w:color="7BB9DC"/>
        <w:right w:val="single" w:sz="6" w:space="9" w:color="7BB9DC"/>
      </w:pBdr>
      <w:shd w:val="clear" w:color="auto" w:fill="9FD5F3"/>
    </w:pPr>
    <w:rPr>
      <w:b/>
      <w:bCs/>
      <w:bdr w:val="single" w:sz="6" w:space="0" w:color="7BB9DC"/>
      <w:shd w:val="clear" w:color="auto" w:fill="9FD5F3"/>
    </w:rPr>
  </w:style>
  <w:style w:type="paragraph" w:customStyle="1" w:styleId="sso-box">
    <w:name w:val="sso-box"/>
    <w:basedOn w:val="Normal"/>
    <w:pPr>
      <w:pBdr>
        <w:top w:val="single" w:sz="6" w:space="16" w:color="7FBA7F"/>
        <w:left w:val="single" w:sz="6" w:space="9" w:color="7FBA7F"/>
        <w:bottom w:val="single" w:sz="6" w:space="16" w:color="7FBA7F"/>
        <w:right w:val="single" w:sz="6" w:space="9" w:color="7FBA7F"/>
      </w:pBdr>
      <w:shd w:val="clear" w:color="auto" w:fill="A8DBA8"/>
    </w:pPr>
    <w:rPr>
      <w:b/>
      <w:bCs/>
      <w:bdr w:val="single" w:sz="6" w:space="0" w:color="7FBA7F"/>
      <w:shd w:val="clear" w:color="auto" w:fill="A8DBA8"/>
    </w:rPr>
  </w:style>
  <w:style w:type="paragraph" w:customStyle="1" w:styleId="reward-box">
    <w:name w:val="reward-box"/>
    <w:basedOn w:val="Normal"/>
    <w:pPr>
      <w:pBdr>
        <w:top w:val="single" w:sz="6" w:space="31" w:color="D98B55"/>
        <w:left w:val="single" w:sz="6" w:space="12" w:color="D98B55"/>
        <w:bottom w:val="single" w:sz="6" w:space="31" w:color="D98B55"/>
        <w:right w:val="single" w:sz="6" w:space="12" w:color="D98B55"/>
      </w:pBdr>
      <w:shd w:val="clear" w:color="auto" w:fill="F4B183"/>
    </w:pPr>
    <w:rPr>
      <w:b/>
      <w:bCs/>
      <w:bdr w:val="single" w:sz="6" w:space="0" w:color="D98B55"/>
      <w:shd w:val="clear" w:color="auto" w:fill="F4B183"/>
    </w:rPr>
  </w:style>
  <w:style w:type="paragraph" w:customStyle="1" w:styleId="web-box">
    <w:name w:val="web-box"/>
    <w:basedOn w:val="Normal"/>
    <w:pPr>
      <w:pBdr>
        <w:top w:val="single" w:sz="6" w:space="10" w:color="555555"/>
        <w:left w:val="single" w:sz="6" w:space="9" w:color="555555"/>
        <w:bottom w:val="single" w:sz="6" w:space="10" w:color="555555"/>
        <w:right w:val="single" w:sz="6" w:space="9" w:color="555555"/>
      </w:pBdr>
      <w:shd w:val="clear" w:color="auto" w:fill="F3F3F3"/>
    </w:pPr>
    <w:rPr>
      <w:b/>
      <w:bCs/>
      <w:bdr w:val="single" w:sz="6" w:space="0" w:color="555555"/>
      <w:shd w:val="clear" w:color="auto" w:fill="F3F3F3"/>
    </w:rPr>
  </w:style>
  <w:style w:type="character" w:customStyle="1" w:styleId="small">
    <w:name w:val="small"/>
    <w:basedOn w:val="DefaultParagraphFont"/>
    <w:rPr>
      <w:b w:val="0"/>
      <w:bCs w:val="0"/>
      <w:color w:val="444444"/>
      <w:sz w:val="20"/>
      <w:szCs w:val="20"/>
    </w:rPr>
  </w:style>
  <w:style w:type="table" w:customStyle="1" w:styleId="table">
    <w:name w:val="table"/>
    <w:basedOn w:val="TableNormal"/>
    <w:tblPr/>
  </w:style>
  <w:style w:type="paragraph" w:customStyle="1" w:styleId="olli">
    <w:name w:val="ol_li"/>
    <w:basedOn w:val="Normal"/>
  </w:style>
  <w:style w:type="paragraph" w:customStyle="1" w:styleId="ulli">
    <w:name w:val="ul_li"/>
    <w:basedOn w:val="Normal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15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Kotak Rewards Login Process Document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Kotak Rewards Login Process Document</dc:title>
  <dc:creator>Mahesh Gupta</dc:creator>
  <cp:lastModifiedBy>Mahesh Gupta</cp:lastModifiedBy>
  <cp:revision>2</cp:revision>
  <dcterms:created xsi:type="dcterms:W3CDTF">2026-04-10T13:30:00Z</dcterms:created>
  <dcterms:modified xsi:type="dcterms:W3CDTF">2026-04-10T13:30:00Z</dcterms:modified>
</cp:coreProperties>
</file>